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4D23" w14:textId="77777777" w:rsidR="00A63D02" w:rsidRDefault="00237A69">
      <w:pPr>
        <w:pStyle w:val="BodyText"/>
        <w:ind w:left="645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24E234B" wp14:editId="4AACDAF9">
            <wp:extent cx="2030095" cy="64007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C2BEE" w14:textId="77777777" w:rsidR="00A63D02" w:rsidRDefault="00237A69">
      <w:pPr>
        <w:pStyle w:val="BodyText"/>
        <w:spacing w:before="21"/>
        <w:ind w:right="2505"/>
        <w:jc w:val="center"/>
      </w:pPr>
      <w:r>
        <w:t>JOB</w:t>
      </w:r>
      <w:r>
        <w:rPr>
          <w:spacing w:val="-4"/>
        </w:rPr>
        <w:t xml:space="preserve"> </w:t>
      </w:r>
      <w:r>
        <w:rPr>
          <w:spacing w:val="-2"/>
        </w:rPr>
        <w:t>DESCRIPTION</w:t>
      </w:r>
    </w:p>
    <w:p w14:paraId="4D9E18CF" w14:textId="03BCC68C" w:rsidR="00A63D02" w:rsidRDefault="00237A69">
      <w:pPr>
        <w:pStyle w:val="BodyText"/>
        <w:ind w:right="2503"/>
        <w:jc w:val="center"/>
      </w:pPr>
      <w:r>
        <w:t>Open</w:t>
      </w:r>
      <w:r>
        <w:rPr>
          <w:spacing w:val="-7"/>
        </w:rPr>
        <w:t xml:space="preserve"> </w:t>
      </w:r>
      <w:r>
        <w:t>Book</w:t>
      </w:r>
      <w:r>
        <w:rPr>
          <w:spacing w:val="-6"/>
        </w:rPr>
        <w:t xml:space="preserve"> </w:t>
      </w:r>
      <w:r>
        <w:t>Futures</w:t>
      </w:r>
      <w:r>
        <w:rPr>
          <w:spacing w:val="-5"/>
        </w:rPr>
        <w:t xml:space="preserve"> </w:t>
      </w:r>
      <w:r w:rsidR="00D71868">
        <w:rPr>
          <w:spacing w:val="-5"/>
        </w:rPr>
        <w:t xml:space="preserve">Accessibility and </w:t>
      </w:r>
      <w:r>
        <w:t>Library</w:t>
      </w:r>
      <w:r>
        <w:rPr>
          <w:spacing w:val="-8"/>
        </w:rPr>
        <w:t xml:space="preserve"> </w:t>
      </w:r>
      <w:r w:rsidR="00D71868">
        <w:t xml:space="preserve">Engagement </w:t>
      </w:r>
      <w:r>
        <w:t>Manager Lancaster Universit</w:t>
      </w:r>
      <w:r w:rsidR="009622AE">
        <w:t>y</w:t>
      </w:r>
    </w:p>
    <w:p w14:paraId="4AABE3A6" w14:textId="016BA2F0" w:rsidR="009622AE" w:rsidRDefault="009622AE" w:rsidP="00052155">
      <w:pPr>
        <w:pStyle w:val="BodyText"/>
        <w:ind w:right="2503"/>
        <w:jc w:val="center"/>
      </w:pPr>
      <w:r>
        <w:t>Vacancy reference: 1148-23-R</w:t>
      </w:r>
    </w:p>
    <w:p w14:paraId="452AA4C0" w14:textId="77777777" w:rsidR="00A63D02" w:rsidRDefault="00A63D02">
      <w:pPr>
        <w:spacing w:after="1"/>
        <w:rPr>
          <w:b/>
          <w:sz w:val="1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4"/>
        <w:gridCol w:w="5255"/>
        <w:gridCol w:w="1278"/>
        <w:gridCol w:w="567"/>
      </w:tblGrid>
      <w:tr w:rsidR="00A63D02" w14:paraId="209AF525" w14:textId="77777777" w:rsidTr="3E324906">
        <w:trPr>
          <w:trHeight w:val="285"/>
        </w:trPr>
        <w:tc>
          <w:tcPr>
            <w:tcW w:w="2974" w:type="dxa"/>
          </w:tcPr>
          <w:p w14:paraId="0FFF34A4" w14:textId="77777777" w:rsidR="00A63D02" w:rsidRDefault="00237A6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Title</w:t>
            </w:r>
          </w:p>
        </w:tc>
        <w:tc>
          <w:tcPr>
            <w:tcW w:w="5255" w:type="dxa"/>
          </w:tcPr>
          <w:p w14:paraId="4C9337B7" w14:textId="5F09831F" w:rsidR="00A63D02" w:rsidRDefault="00237A69">
            <w:pPr>
              <w:pStyle w:val="TableParagraph"/>
              <w:spacing w:line="265" w:lineRule="exact"/>
              <w:ind w:left="108"/>
            </w:pPr>
            <w:r>
              <w:t>Open</w:t>
            </w:r>
            <w:r>
              <w:rPr>
                <w:spacing w:val="-5"/>
              </w:rPr>
              <w:t xml:space="preserve"> </w:t>
            </w:r>
            <w:r>
              <w:t>Book</w:t>
            </w:r>
            <w:r>
              <w:rPr>
                <w:spacing w:val="-5"/>
              </w:rPr>
              <w:t xml:space="preserve"> </w:t>
            </w:r>
            <w:r>
              <w:t>Futures</w:t>
            </w:r>
            <w:r>
              <w:rPr>
                <w:spacing w:val="-6"/>
              </w:rPr>
              <w:t xml:space="preserve"> </w:t>
            </w:r>
            <w:r w:rsidR="00D71868">
              <w:rPr>
                <w:spacing w:val="-6"/>
              </w:rPr>
              <w:t xml:space="preserve">Accessibility and </w:t>
            </w:r>
            <w:r>
              <w:t>Library</w:t>
            </w:r>
            <w:r>
              <w:rPr>
                <w:spacing w:val="-7"/>
              </w:rPr>
              <w:t xml:space="preserve"> </w:t>
            </w:r>
            <w:r w:rsidR="00D71868">
              <w:t xml:space="preserve">Engagement </w:t>
            </w:r>
            <w:r>
              <w:rPr>
                <w:spacing w:val="-2"/>
              </w:rPr>
              <w:t>Manager</w:t>
            </w:r>
          </w:p>
        </w:tc>
        <w:tc>
          <w:tcPr>
            <w:tcW w:w="1278" w:type="dxa"/>
          </w:tcPr>
          <w:p w14:paraId="46CD53E7" w14:textId="77777777" w:rsidR="00A63D02" w:rsidRDefault="00237A6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Grade</w:t>
            </w:r>
          </w:p>
        </w:tc>
        <w:tc>
          <w:tcPr>
            <w:tcW w:w="567" w:type="dxa"/>
          </w:tcPr>
          <w:p w14:paraId="4E189863" w14:textId="77777777" w:rsidR="00A63D02" w:rsidRDefault="00237A69">
            <w:pPr>
              <w:pStyle w:val="TableParagraph"/>
              <w:spacing w:line="265" w:lineRule="exact"/>
              <w:ind w:left="106"/>
            </w:pPr>
            <w:r>
              <w:rPr>
                <w:spacing w:val="-5"/>
              </w:rPr>
              <w:t>7P</w:t>
            </w:r>
          </w:p>
        </w:tc>
      </w:tr>
      <w:tr w:rsidR="00A63D02" w14:paraId="002676CC" w14:textId="77777777" w:rsidTr="3E324906">
        <w:trPr>
          <w:trHeight w:val="287"/>
        </w:trPr>
        <w:tc>
          <w:tcPr>
            <w:tcW w:w="2974" w:type="dxa"/>
          </w:tcPr>
          <w:p w14:paraId="73BB447C" w14:textId="77777777" w:rsidR="00A63D02" w:rsidRDefault="00237A6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Department/College</w:t>
            </w:r>
          </w:p>
        </w:tc>
        <w:tc>
          <w:tcPr>
            <w:tcW w:w="7100" w:type="dxa"/>
            <w:gridSpan w:val="3"/>
          </w:tcPr>
          <w:p w14:paraId="723F4427" w14:textId="77777777" w:rsidR="00A63D02" w:rsidRDefault="00237A69">
            <w:pPr>
              <w:pStyle w:val="TableParagraph"/>
              <w:spacing w:line="268" w:lineRule="exact"/>
              <w:ind w:left="108"/>
            </w:pPr>
            <w:r>
              <w:rPr>
                <w:spacing w:val="-2"/>
              </w:rPr>
              <w:t>Library</w:t>
            </w:r>
          </w:p>
        </w:tc>
      </w:tr>
      <w:tr w:rsidR="00A63D02" w14:paraId="53516F56" w14:textId="77777777" w:rsidTr="3E324906">
        <w:trPr>
          <w:trHeight w:val="316"/>
        </w:trPr>
        <w:tc>
          <w:tcPr>
            <w:tcW w:w="2974" w:type="dxa"/>
          </w:tcPr>
          <w:p w14:paraId="5EA80F81" w14:textId="77777777" w:rsidR="00A63D02" w:rsidRDefault="00237A69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Direct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responsibility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to</w:t>
            </w:r>
          </w:p>
        </w:tc>
        <w:tc>
          <w:tcPr>
            <w:tcW w:w="7100" w:type="dxa"/>
            <w:gridSpan w:val="3"/>
          </w:tcPr>
          <w:p w14:paraId="7067A5D2" w14:textId="77777777" w:rsidR="00A63D02" w:rsidRDefault="00237A69">
            <w:pPr>
              <w:pStyle w:val="TableParagraph"/>
              <w:spacing w:before="1"/>
              <w:ind w:left="108"/>
            </w:pPr>
            <w:r>
              <w:t>Head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Open</w:t>
            </w:r>
            <w:r>
              <w:rPr>
                <w:spacing w:val="-2"/>
              </w:rPr>
              <w:t xml:space="preserve"> Research</w:t>
            </w:r>
          </w:p>
        </w:tc>
      </w:tr>
      <w:tr w:rsidR="00A63D02" w14:paraId="5B8F94C4" w14:textId="77777777" w:rsidTr="3E324906">
        <w:trPr>
          <w:trHeight w:val="282"/>
        </w:trPr>
        <w:tc>
          <w:tcPr>
            <w:tcW w:w="2974" w:type="dxa"/>
          </w:tcPr>
          <w:p w14:paraId="76290E6E" w14:textId="77777777" w:rsidR="00A63D02" w:rsidRDefault="00237A69">
            <w:pPr>
              <w:pStyle w:val="TableParagraph"/>
              <w:spacing w:line="263" w:lineRule="exact"/>
              <w:rPr>
                <w:b/>
              </w:rPr>
            </w:pPr>
            <w:r>
              <w:rPr>
                <w:b/>
              </w:rPr>
              <w:t>Supervisory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responsibility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5"/>
              </w:rPr>
              <w:t>for</w:t>
            </w:r>
          </w:p>
        </w:tc>
        <w:tc>
          <w:tcPr>
            <w:tcW w:w="7100" w:type="dxa"/>
            <w:gridSpan w:val="3"/>
          </w:tcPr>
          <w:p w14:paraId="201B8A26" w14:textId="77777777" w:rsidR="00A63D02" w:rsidRDefault="00237A69">
            <w:pPr>
              <w:pStyle w:val="TableParagraph"/>
              <w:spacing w:line="263" w:lineRule="exact"/>
              <w:ind w:left="108"/>
            </w:pPr>
            <w:r>
              <w:rPr>
                <w:spacing w:val="-4"/>
              </w:rPr>
              <w:t>None</w:t>
            </w:r>
          </w:p>
        </w:tc>
      </w:tr>
      <w:tr w:rsidR="00A63D02" w14:paraId="73AB8480" w14:textId="77777777" w:rsidTr="3E324906">
        <w:trPr>
          <w:trHeight w:val="1134"/>
        </w:trPr>
        <w:tc>
          <w:tcPr>
            <w:tcW w:w="2974" w:type="dxa"/>
          </w:tcPr>
          <w:p w14:paraId="2E4B0F8D" w14:textId="77777777" w:rsidR="00A63D02" w:rsidRDefault="00237A6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Internal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contacts</w:t>
            </w:r>
          </w:p>
        </w:tc>
        <w:tc>
          <w:tcPr>
            <w:tcW w:w="7100" w:type="dxa"/>
            <w:gridSpan w:val="3"/>
          </w:tcPr>
          <w:p w14:paraId="10A060BA" w14:textId="0AF82564" w:rsidR="00A63D02" w:rsidRDefault="00237A69">
            <w:pPr>
              <w:pStyle w:val="TableParagraph"/>
              <w:ind w:left="108"/>
            </w:pPr>
            <w:r>
              <w:t>Principal</w:t>
            </w:r>
            <w:r>
              <w:rPr>
                <w:spacing w:val="-4"/>
              </w:rPr>
              <w:t xml:space="preserve"> </w:t>
            </w:r>
            <w:r>
              <w:t>Investigator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Open</w:t>
            </w:r>
            <w:r>
              <w:rPr>
                <w:spacing w:val="-4"/>
              </w:rPr>
              <w:t xml:space="preserve"> </w:t>
            </w:r>
            <w:r>
              <w:t>Book</w:t>
            </w:r>
            <w:r>
              <w:rPr>
                <w:spacing w:val="-5"/>
              </w:rPr>
              <w:t xml:space="preserve"> </w:t>
            </w:r>
            <w:r w:rsidR="362DC1B3">
              <w:t>Futures</w:t>
            </w:r>
            <w:r>
              <w:rPr>
                <w:spacing w:val="-5"/>
              </w:rPr>
              <w:t xml:space="preserve"> </w:t>
            </w:r>
            <w:r>
              <w:t>Project,</w:t>
            </w:r>
            <w:r>
              <w:rPr>
                <w:spacing w:val="-5"/>
              </w:rPr>
              <w:t xml:space="preserve"> </w:t>
            </w:r>
            <w:r>
              <w:t>Research</w:t>
            </w:r>
            <w:r>
              <w:rPr>
                <w:spacing w:val="-4"/>
              </w:rPr>
              <w:t xml:space="preserve"> </w:t>
            </w:r>
            <w:r>
              <w:t>Culture</w:t>
            </w:r>
            <w:r>
              <w:rPr>
                <w:spacing w:val="-4"/>
              </w:rPr>
              <w:t xml:space="preserve"> </w:t>
            </w:r>
            <w:r>
              <w:t>and Open Monographs Lead, colleagues across the Library, Research and Enterprise Colleagues</w:t>
            </w:r>
          </w:p>
        </w:tc>
      </w:tr>
      <w:tr w:rsidR="00A63D02" w14:paraId="08C17E5D" w14:textId="77777777" w:rsidTr="3E324906">
        <w:trPr>
          <w:trHeight w:val="1344"/>
        </w:trPr>
        <w:tc>
          <w:tcPr>
            <w:tcW w:w="2974" w:type="dxa"/>
          </w:tcPr>
          <w:p w14:paraId="160726E7" w14:textId="77777777" w:rsidR="00A63D02" w:rsidRDefault="00237A6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External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contacts</w:t>
            </w:r>
          </w:p>
        </w:tc>
        <w:tc>
          <w:tcPr>
            <w:tcW w:w="7100" w:type="dxa"/>
            <w:gridSpan w:val="3"/>
          </w:tcPr>
          <w:p w14:paraId="2B6C1DE6" w14:textId="77777777" w:rsidR="00A63D02" w:rsidRDefault="00237A69">
            <w:pPr>
              <w:pStyle w:val="TableParagraph"/>
              <w:ind w:left="108"/>
            </w:pPr>
            <w:r>
              <w:t>Open Book Futures Project Team Members, External organisations/engagement</w:t>
            </w:r>
            <w:r>
              <w:rPr>
                <w:spacing w:val="-9"/>
              </w:rPr>
              <w:t xml:space="preserve"> </w:t>
            </w:r>
            <w:r>
              <w:t>partners</w:t>
            </w:r>
            <w:r>
              <w:rPr>
                <w:spacing w:val="-5"/>
              </w:rPr>
              <w:t xml:space="preserve"> </w:t>
            </w:r>
            <w:proofErr w:type="gramStart"/>
            <w:r>
              <w:t>including:</w:t>
            </w:r>
            <w:proofErr w:type="gramEnd"/>
            <w:r>
              <w:rPr>
                <w:spacing w:val="-8"/>
              </w:rPr>
              <w:t xml:space="preserve"> </w:t>
            </w:r>
            <w:r>
              <w:t>other</w:t>
            </w:r>
            <w:r>
              <w:rPr>
                <w:spacing w:val="-9"/>
              </w:rPr>
              <w:t xml:space="preserve"> </w:t>
            </w:r>
            <w:r>
              <w:t>Higher</w:t>
            </w:r>
            <w:r>
              <w:rPr>
                <w:spacing w:val="-6"/>
              </w:rPr>
              <w:t xml:space="preserve"> </w:t>
            </w:r>
            <w:r>
              <w:t>Education institutions, relevant funders and policy makers, publishers, relevant</w:t>
            </w:r>
          </w:p>
          <w:p w14:paraId="6DC3B9F3" w14:textId="77777777" w:rsidR="00A63D02" w:rsidRDefault="00237A69">
            <w:pPr>
              <w:pStyle w:val="TableParagraph"/>
              <w:spacing w:line="270" w:lineRule="atLeast"/>
              <w:ind w:left="108" w:right="130"/>
            </w:pPr>
            <w:r>
              <w:t>regional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national</w:t>
            </w:r>
            <w:r>
              <w:rPr>
                <w:spacing w:val="-5"/>
              </w:rPr>
              <w:t xml:space="preserve"> </w:t>
            </w:r>
            <w:r>
              <w:t>bodies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-5"/>
              </w:rPr>
              <w:t xml:space="preserve"> </w:t>
            </w:r>
            <w:r>
              <w:t>N8,</w:t>
            </w:r>
            <w:r>
              <w:rPr>
                <w:spacing w:val="-5"/>
              </w:rPr>
              <w:t xml:space="preserve"> </w:t>
            </w:r>
            <w:r>
              <w:t>Academic</w:t>
            </w:r>
            <w:r>
              <w:rPr>
                <w:spacing w:val="-7"/>
              </w:rPr>
              <w:t xml:space="preserve"> </w:t>
            </w:r>
            <w:r>
              <w:t>Libraries</w:t>
            </w:r>
            <w:r>
              <w:rPr>
                <w:spacing w:val="-5"/>
              </w:rPr>
              <w:t xml:space="preserve"> </w:t>
            </w:r>
            <w:r>
              <w:t>North, SCONUL, RLUK.</w:t>
            </w:r>
          </w:p>
        </w:tc>
      </w:tr>
      <w:tr w:rsidR="00A63D02" w14:paraId="466353AE" w14:textId="77777777" w:rsidTr="3E324906">
        <w:trPr>
          <w:trHeight w:val="4849"/>
        </w:trPr>
        <w:tc>
          <w:tcPr>
            <w:tcW w:w="10074" w:type="dxa"/>
            <w:gridSpan w:val="4"/>
          </w:tcPr>
          <w:p w14:paraId="02197C99" w14:textId="77777777" w:rsidR="00A63D02" w:rsidRDefault="00237A69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Main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Duties</w:t>
            </w:r>
          </w:p>
          <w:p w14:paraId="26CD9FA6" w14:textId="7A717AFB" w:rsidR="00A63D02" w:rsidRDefault="00237A69">
            <w:pPr>
              <w:pStyle w:val="TableParagraph"/>
              <w:spacing w:before="121"/>
            </w:pPr>
            <w:r>
              <w:t>The Open</w:t>
            </w:r>
            <w:r>
              <w:rPr>
                <w:spacing w:val="-4"/>
              </w:rPr>
              <w:t xml:space="preserve"> </w:t>
            </w:r>
            <w:r>
              <w:t>Book</w:t>
            </w:r>
            <w:r>
              <w:rPr>
                <w:spacing w:val="-2"/>
              </w:rPr>
              <w:t xml:space="preserve"> </w:t>
            </w:r>
            <w:r>
              <w:t>Futures</w:t>
            </w:r>
            <w:r>
              <w:rPr>
                <w:spacing w:val="-3"/>
              </w:rPr>
              <w:t xml:space="preserve"> </w:t>
            </w:r>
            <w:r w:rsidR="00D71868">
              <w:rPr>
                <w:spacing w:val="-3"/>
              </w:rPr>
              <w:t xml:space="preserve">Accessibility and </w:t>
            </w:r>
            <w:r>
              <w:t xml:space="preserve">Library </w:t>
            </w:r>
            <w:r w:rsidR="00D71868">
              <w:t xml:space="preserve">Engagement </w:t>
            </w:r>
            <w:r>
              <w:t>Manager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play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role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 w:rsidR="00D71868">
              <w:rPr>
                <w:spacing w:val="-2"/>
              </w:rPr>
              <w:t xml:space="preserve">accessibility and </w:t>
            </w:r>
            <w:r>
              <w:t>library</w:t>
            </w:r>
            <w:r>
              <w:rPr>
                <w:spacing w:val="-1"/>
              </w:rPr>
              <w:t xml:space="preserve"> </w:t>
            </w:r>
            <w:r>
              <w:t>related</w:t>
            </w:r>
            <w:r>
              <w:rPr>
                <w:spacing w:val="-2"/>
              </w:rPr>
              <w:t xml:space="preserve"> </w:t>
            </w:r>
            <w:r>
              <w:t>aspects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Open Book Futures project, a multi-stakeholder, international research project, jointly funded by Arcadia and Research England</w:t>
            </w:r>
            <w:r w:rsidR="00D71868">
              <w:t>, and part of the work of the Copim community</w:t>
            </w:r>
            <w:r>
              <w:t>.</w:t>
            </w:r>
          </w:p>
          <w:p w14:paraId="39726146" w14:textId="77777777" w:rsidR="00A63D02" w:rsidRDefault="00237A69">
            <w:pPr>
              <w:pStyle w:val="TableParagraph"/>
              <w:spacing w:before="267"/>
            </w:pPr>
            <w:r>
              <w:rPr>
                <w:spacing w:val="-2"/>
              </w:rPr>
              <w:t>Specific</w:t>
            </w:r>
            <w:r>
              <w:t xml:space="preserve"> </w:t>
            </w:r>
            <w:r>
              <w:rPr>
                <w:spacing w:val="-2"/>
              </w:rPr>
              <w:t>responsibilities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include:</w:t>
            </w:r>
          </w:p>
          <w:p w14:paraId="740A8D39" w14:textId="6E87E38B" w:rsidR="00A63D02" w:rsidRDefault="00237A69">
            <w:pPr>
              <w:pStyle w:val="TableParagraph"/>
              <w:numPr>
                <w:ilvl w:val="0"/>
                <w:numId w:val="1"/>
              </w:numPr>
              <w:tabs>
                <w:tab w:val="left" w:pos="636"/>
                <w:tab w:val="left" w:pos="638"/>
              </w:tabs>
              <w:spacing w:before="267"/>
              <w:ind w:right="93"/>
              <w:jc w:val="both"/>
            </w:pPr>
            <w:r>
              <w:t>Planning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implement</w:t>
            </w:r>
            <w:r w:rsidR="061D4632">
              <w:t>ing</w:t>
            </w:r>
            <w:r>
              <w:rPr>
                <w:spacing w:val="-3"/>
              </w:rPr>
              <w:t xml:space="preserve"> </w:t>
            </w:r>
            <w:r>
              <w:t>library related</w:t>
            </w:r>
            <w:r>
              <w:rPr>
                <w:spacing w:val="-4"/>
              </w:rPr>
              <w:t xml:space="preserve"> </w:t>
            </w:r>
            <w:r>
              <w:t>engagement</w:t>
            </w:r>
            <w:r>
              <w:rPr>
                <w:spacing w:val="-3"/>
              </w:rPr>
              <w:t xml:space="preserve"> </w:t>
            </w:r>
            <w:r>
              <w:t>events and</w:t>
            </w:r>
            <w:r>
              <w:rPr>
                <w:spacing w:val="-1"/>
              </w:rPr>
              <w:t xml:space="preserve"> </w:t>
            </w:r>
            <w:r>
              <w:t>developing</w:t>
            </w:r>
            <w:r>
              <w:rPr>
                <w:spacing w:val="-1"/>
              </w:rPr>
              <w:t xml:space="preserve"> </w:t>
            </w:r>
            <w:r>
              <w:t>cross-sector</w:t>
            </w:r>
            <w:r>
              <w:rPr>
                <w:spacing w:val="-1"/>
              </w:rPr>
              <w:t xml:space="preserve"> </w:t>
            </w:r>
            <w:r>
              <w:t xml:space="preserve">relationships as part of </w:t>
            </w:r>
            <w:r w:rsidR="00D71868">
              <w:t xml:space="preserve">Copim’s </w:t>
            </w:r>
            <w:r>
              <w:t>Open Book Futures project, including presenting at library professional events, coordinating and hosting events (both in person and online) and contributing to the wider marketing work packages.</w:t>
            </w:r>
          </w:p>
          <w:p w14:paraId="53D8B8E5" w14:textId="6E314F25" w:rsidR="00A63D02" w:rsidRDefault="00237A69">
            <w:pPr>
              <w:pStyle w:val="TableParagraph"/>
              <w:numPr>
                <w:ilvl w:val="0"/>
                <w:numId w:val="1"/>
              </w:numPr>
              <w:tabs>
                <w:tab w:val="left" w:pos="636"/>
                <w:tab w:val="left" w:pos="638"/>
              </w:tabs>
              <w:spacing w:line="237" w:lineRule="auto"/>
              <w:ind w:right="101"/>
              <w:jc w:val="both"/>
            </w:pPr>
            <w:r>
              <w:t>Carrying</w:t>
            </w:r>
            <w:r>
              <w:rPr>
                <w:spacing w:val="-6"/>
              </w:rPr>
              <w:t xml:space="preserve"> </w:t>
            </w:r>
            <w:r>
              <w:t>out</w:t>
            </w:r>
            <w:r>
              <w:rPr>
                <w:spacing w:val="-5"/>
              </w:rPr>
              <w:t xml:space="preserve"> </w:t>
            </w:r>
            <w:r>
              <w:t>primary</w:t>
            </w:r>
            <w:r>
              <w:rPr>
                <w:spacing w:val="-5"/>
              </w:rPr>
              <w:t xml:space="preserve"> </w:t>
            </w:r>
            <w:r>
              <w:t>market</w:t>
            </w:r>
            <w:r>
              <w:rPr>
                <w:spacing w:val="-5"/>
              </w:rPr>
              <w:t xml:space="preserve"> </w:t>
            </w:r>
            <w:r>
              <w:t>research</w:t>
            </w:r>
            <w:r>
              <w:rPr>
                <w:spacing w:val="-6"/>
              </w:rPr>
              <w:t xml:space="preserve"> </w:t>
            </w:r>
            <w:r>
              <w:t>with</w:t>
            </w:r>
            <w:r w:rsidR="00D71868">
              <w:t xml:space="preserve"> accessibility and </w:t>
            </w:r>
            <w:r>
              <w:t>library</w:t>
            </w:r>
            <w:r>
              <w:rPr>
                <w:spacing w:val="-5"/>
              </w:rPr>
              <w:t xml:space="preserve"> </w:t>
            </w:r>
            <w:r>
              <w:t>stakeholder</w:t>
            </w:r>
            <w:r>
              <w:rPr>
                <w:spacing w:val="-5"/>
              </w:rPr>
              <w:t xml:space="preserve"> </w:t>
            </w:r>
            <w:r>
              <w:t>groups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-6"/>
              </w:rPr>
              <w:t xml:space="preserve"> </w:t>
            </w:r>
            <w:r>
              <w:t>(but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limited</w:t>
            </w:r>
            <w:r>
              <w:rPr>
                <w:spacing w:val="-6"/>
              </w:rPr>
              <w:t xml:space="preserve"> </w:t>
            </w:r>
            <w:r>
              <w:t>to)</w:t>
            </w:r>
            <w:r>
              <w:rPr>
                <w:spacing w:val="-5"/>
              </w:rPr>
              <w:t xml:space="preserve"> </w:t>
            </w:r>
            <w:r>
              <w:t xml:space="preserve">focus groups and interviews, analysing </w:t>
            </w:r>
            <w:proofErr w:type="gramStart"/>
            <w:r>
              <w:t>results</w:t>
            </w:r>
            <w:proofErr w:type="gramEnd"/>
            <w:r>
              <w:t xml:space="preserve"> and presenting findings to a variety of stakeholders.</w:t>
            </w:r>
          </w:p>
          <w:p w14:paraId="3C3A0654" w14:textId="4ED04142" w:rsidR="00A63D02" w:rsidRDefault="00237A69">
            <w:pPr>
              <w:pStyle w:val="TableParagraph"/>
              <w:numPr>
                <w:ilvl w:val="0"/>
                <w:numId w:val="1"/>
              </w:numPr>
              <w:tabs>
                <w:tab w:val="left" w:pos="636"/>
                <w:tab w:val="left" w:pos="638"/>
              </w:tabs>
              <w:spacing w:before="2" w:line="237" w:lineRule="auto"/>
              <w:ind w:right="101"/>
              <w:jc w:val="both"/>
            </w:pPr>
            <w:r>
              <w:t>Conducting research into the existing Open Monographs market, including horizon scanning and identifying best practice</w:t>
            </w:r>
            <w:r w:rsidR="000C1408">
              <w:t>s, accessibility standards and legal requirements,</w:t>
            </w:r>
            <w:r w:rsidR="72DA761B">
              <w:t xml:space="preserve"> </w:t>
            </w:r>
            <w:r>
              <w:t>and summarising and presenting on findings a</w:t>
            </w:r>
            <w:r w:rsidR="3AE67996">
              <w:t>s</w:t>
            </w:r>
            <w:r>
              <w:t xml:space="preserve"> relevant</w:t>
            </w:r>
          </w:p>
          <w:p w14:paraId="191195E4" w14:textId="607D9900" w:rsidR="00A63D02" w:rsidRDefault="00237A69">
            <w:pPr>
              <w:pStyle w:val="TableParagraph"/>
              <w:numPr>
                <w:ilvl w:val="0"/>
                <w:numId w:val="1"/>
              </w:numPr>
              <w:tabs>
                <w:tab w:val="left" w:pos="636"/>
                <w:tab w:val="left" w:pos="638"/>
              </w:tabs>
              <w:ind w:right="95"/>
              <w:jc w:val="both"/>
            </w:pPr>
            <w:r>
              <w:t>Contributing to library engagement strategies and represent</w:t>
            </w:r>
            <w:r w:rsidR="6334BC2E">
              <w:t>ing</w:t>
            </w:r>
            <w:r>
              <w:t xml:space="preserve"> library stakeholders within relevant Open Book Futures project meetings and work packages</w:t>
            </w:r>
          </w:p>
          <w:p w14:paraId="52B00958" w14:textId="77777777" w:rsidR="00A63D02" w:rsidRDefault="00237A69">
            <w:pPr>
              <w:pStyle w:val="TableParagraph"/>
              <w:numPr>
                <w:ilvl w:val="0"/>
                <w:numId w:val="1"/>
              </w:numPr>
              <w:tabs>
                <w:tab w:val="left" w:pos="637"/>
              </w:tabs>
              <w:spacing w:line="259" w:lineRule="exact"/>
              <w:ind w:left="637" w:hanging="359"/>
              <w:jc w:val="both"/>
            </w:pPr>
            <w:r>
              <w:t>Any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duties</w:t>
            </w:r>
            <w:r>
              <w:rPr>
                <w:spacing w:val="-4"/>
              </w:rPr>
              <w:t xml:space="preserve"> </w:t>
            </w:r>
            <w:r>
              <w:t>consistent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nature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grading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role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agreed.</w:t>
            </w:r>
          </w:p>
        </w:tc>
      </w:tr>
    </w:tbl>
    <w:p w14:paraId="6B8E0476" w14:textId="77777777" w:rsidR="0037093F" w:rsidRDefault="0037093F"/>
    <w:sectPr w:rsidR="0037093F">
      <w:type w:val="continuous"/>
      <w:pgSz w:w="11910" w:h="16840"/>
      <w:pgMar w:top="68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96053"/>
    <w:multiLevelType w:val="hybridMultilevel"/>
    <w:tmpl w:val="2D927E76"/>
    <w:lvl w:ilvl="0" w:tplc="05002AA2">
      <w:numFmt w:val="bullet"/>
      <w:lvlText w:val=""/>
      <w:lvlJc w:val="left"/>
      <w:pPr>
        <w:ind w:left="63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DCC80AA">
      <w:numFmt w:val="bullet"/>
      <w:lvlText w:val="•"/>
      <w:lvlJc w:val="left"/>
      <w:pPr>
        <w:ind w:left="1582" w:hanging="361"/>
      </w:pPr>
      <w:rPr>
        <w:rFonts w:hint="default"/>
        <w:lang w:val="en-US" w:eastAsia="en-US" w:bidi="ar-SA"/>
      </w:rPr>
    </w:lvl>
    <w:lvl w:ilvl="2" w:tplc="9A0A163A">
      <w:numFmt w:val="bullet"/>
      <w:lvlText w:val="•"/>
      <w:lvlJc w:val="left"/>
      <w:pPr>
        <w:ind w:left="2524" w:hanging="361"/>
      </w:pPr>
      <w:rPr>
        <w:rFonts w:hint="default"/>
        <w:lang w:val="en-US" w:eastAsia="en-US" w:bidi="ar-SA"/>
      </w:rPr>
    </w:lvl>
    <w:lvl w:ilvl="3" w:tplc="0B867002">
      <w:numFmt w:val="bullet"/>
      <w:lvlText w:val="•"/>
      <w:lvlJc w:val="left"/>
      <w:pPr>
        <w:ind w:left="3467" w:hanging="361"/>
      </w:pPr>
      <w:rPr>
        <w:rFonts w:hint="default"/>
        <w:lang w:val="en-US" w:eastAsia="en-US" w:bidi="ar-SA"/>
      </w:rPr>
    </w:lvl>
    <w:lvl w:ilvl="4" w:tplc="7D00E414">
      <w:numFmt w:val="bullet"/>
      <w:lvlText w:val="•"/>
      <w:lvlJc w:val="left"/>
      <w:pPr>
        <w:ind w:left="4409" w:hanging="361"/>
      </w:pPr>
      <w:rPr>
        <w:rFonts w:hint="default"/>
        <w:lang w:val="en-US" w:eastAsia="en-US" w:bidi="ar-SA"/>
      </w:rPr>
    </w:lvl>
    <w:lvl w:ilvl="5" w:tplc="6FE8733E">
      <w:numFmt w:val="bullet"/>
      <w:lvlText w:val="•"/>
      <w:lvlJc w:val="left"/>
      <w:pPr>
        <w:ind w:left="5352" w:hanging="361"/>
      </w:pPr>
      <w:rPr>
        <w:rFonts w:hint="default"/>
        <w:lang w:val="en-US" w:eastAsia="en-US" w:bidi="ar-SA"/>
      </w:rPr>
    </w:lvl>
    <w:lvl w:ilvl="6" w:tplc="7D3008E6">
      <w:numFmt w:val="bullet"/>
      <w:lvlText w:val="•"/>
      <w:lvlJc w:val="left"/>
      <w:pPr>
        <w:ind w:left="6294" w:hanging="361"/>
      </w:pPr>
      <w:rPr>
        <w:rFonts w:hint="default"/>
        <w:lang w:val="en-US" w:eastAsia="en-US" w:bidi="ar-SA"/>
      </w:rPr>
    </w:lvl>
    <w:lvl w:ilvl="7" w:tplc="99306C04">
      <w:numFmt w:val="bullet"/>
      <w:lvlText w:val="•"/>
      <w:lvlJc w:val="left"/>
      <w:pPr>
        <w:ind w:left="7236" w:hanging="361"/>
      </w:pPr>
      <w:rPr>
        <w:rFonts w:hint="default"/>
        <w:lang w:val="en-US" w:eastAsia="en-US" w:bidi="ar-SA"/>
      </w:rPr>
    </w:lvl>
    <w:lvl w:ilvl="8" w:tplc="4B3E08BC">
      <w:numFmt w:val="bullet"/>
      <w:lvlText w:val="•"/>
      <w:lvlJc w:val="left"/>
      <w:pPr>
        <w:ind w:left="8179" w:hanging="361"/>
      </w:pPr>
      <w:rPr>
        <w:rFonts w:hint="default"/>
        <w:lang w:val="en-US" w:eastAsia="en-US" w:bidi="ar-SA"/>
      </w:rPr>
    </w:lvl>
  </w:abstractNum>
  <w:num w:numId="1" w16cid:durableId="999039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3D02"/>
    <w:rsid w:val="00052155"/>
    <w:rsid w:val="000C1408"/>
    <w:rsid w:val="00237A69"/>
    <w:rsid w:val="00325181"/>
    <w:rsid w:val="0037093F"/>
    <w:rsid w:val="006D4CB7"/>
    <w:rsid w:val="008E53ED"/>
    <w:rsid w:val="009622AE"/>
    <w:rsid w:val="00A63D02"/>
    <w:rsid w:val="00B420B3"/>
    <w:rsid w:val="00D71868"/>
    <w:rsid w:val="00DD444F"/>
    <w:rsid w:val="00DF2C45"/>
    <w:rsid w:val="061D4632"/>
    <w:rsid w:val="24294E1E"/>
    <w:rsid w:val="2C4C014B"/>
    <w:rsid w:val="362DC1B3"/>
    <w:rsid w:val="388BC205"/>
    <w:rsid w:val="3AE67996"/>
    <w:rsid w:val="3E324906"/>
    <w:rsid w:val="41E15E73"/>
    <w:rsid w:val="6334BC2E"/>
    <w:rsid w:val="72DA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654E7"/>
  <w15:docId w15:val="{EE9DB5C5-E7FE-4B75-BDAD-C89F2AAA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06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Revision">
    <w:name w:val="Revision"/>
    <w:hidden/>
    <w:uiPriority w:val="99"/>
    <w:semiHidden/>
    <w:rsid w:val="00D71868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McTigue, Sarah</dc:creator>
  <cp:keywords/>
  <cp:lastModifiedBy>Midda, Naomi</cp:lastModifiedBy>
  <cp:revision>6</cp:revision>
  <dcterms:created xsi:type="dcterms:W3CDTF">2024-03-27T14:22:00Z</dcterms:created>
  <dcterms:modified xsi:type="dcterms:W3CDTF">2024-04-15T11:59:00Z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2024-02-29T00:00:00Z</vt:filetime>
  </property>
  <property fmtid="{D5CDD505-2E9C-101B-9397-08002B2CF9AE}" pid="5" name="Producer">
    <vt:lpwstr>Microsoft® Word for Microsoft 365</vt:lpwstr>
  </property>
</Properties>
</file>